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699D3881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宋体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宋体" w:hAnsi="Arial" w:cs="Times New Roman"/>
          <w:b/>
          <w:sz w:val="24"/>
          <w:szCs w:val="20"/>
          <w:lang w:val="en-GB"/>
        </w:rPr>
        <w:t>9</w:t>
      </w:r>
      <w:r w:rsidR="00D27872">
        <w:rPr>
          <w:rFonts w:ascii="Arial" w:eastAsia="宋体" w:hAnsi="Arial" w:cs="Times New Roman"/>
          <w:b/>
          <w:sz w:val="24"/>
          <w:szCs w:val="20"/>
          <w:lang w:val="en-GB"/>
        </w:rPr>
        <w:t>2bis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683220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</w:t>
      </w:r>
      <w:r w:rsidR="00DD555A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9</w:t>
      </w:r>
      <w:r w:rsidR="00940C84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11786</w:t>
      </w:r>
    </w:p>
    <w:p w14:paraId="3DEDC117" w14:textId="316BAC68" w:rsidR="00841BCD" w:rsidRPr="00841BCD" w:rsidRDefault="00D27872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bookmarkStart w:id="3" w:name="_Hlk20748828"/>
      <w:r>
        <w:rPr>
          <w:rFonts w:ascii="Arial" w:eastAsia="宋体" w:hAnsi="Arial" w:cs="Times New Roman"/>
          <w:b/>
          <w:sz w:val="24"/>
          <w:szCs w:val="20"/>
          <w:lang w:val="en-GB"/>
        </w:rPr>
        <w:t>Chongqing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China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October</w:t>
      </w:r>
      <w:r w:rsidR="001C2F6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363CF1">
        <w:rPr>
          <w:rFonts w:ascii="Arial" w:eastAsia="宋体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4</w:t>
      </w:r>
      <w:r w:rsidR="00BA724E" w:rsidRPr="00BA724E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– </w:t>
      </w:r>
      <w:r w:rsidR="00DD555A">
        <w:rPr>
          <w:rFonts w:ascii="Arial" w:eastAsia="宋体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8</w:t>
      </w:r>
      <w:r w:rsidR="00176671" w:rsidRPr="00001C9B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201</w:t>
      </w:r>
      <w:r w:rsidR="00DD555A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9</w:t>
      </w:r>
    </w:p>
    <w:bookmarkEnd w:id="0"/>
    <w:bookmarkEnd w:id="1"/>
    <w:bookmarkEnd w:id="3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75B20E78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D19CB">
        <w:rPr>
          <w:rFonts w:ascii="Arial" w:eastAsia="Calibri" w:hAnsi="Arial" w:cs="Arial"/>
          <w:b/>
          <w:bCs/>
          <w:sz w:val="24"/>
          <w:lang w:val="en-GB"/>
        </w:rPr>
        <w:t xml:space="preserve">Clarification on MRTD and MTTD requirements in </w:t>
      </w:r>
      <w:r w:rsidR="00CD2029">
        <w:rPr>
          <w:rFonts w:ascii="Arial" w:eastAsia="Calibri" w:hAnsi="Arial" w:cs="Arial"/>
          <w:b/>
          <w:bCs/>
          <w:sz w:val="24"/>
          <w:lang w:val="en-GB"/>
        </w:rPr>
        <w:t>LTE NR dual connectivity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32165334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AB545D">
        <w:rPr>
          <w:rFonts w:ascii="Arial" w:eastAsia="MS Mincho" w:hAnsi="Arial" w:cs="Arial"/>
          <w:b/>
          <w:bCs/>
          <w:sz w:val="24"/>
          <w:szCs w:val="20"/>
          <w:lang w:val="en-GB"/>
        </w:rPr>
        <w:t>6.10.6.2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7D19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6746798" w14:textId="7A1EB6C3" w:rsidR="0030202A" w:rsidRPr="002F331F" w:rsidRDefault="0030202A" w:rsidP="00CD2029">
      <w:pPr>
        <w:ind w:right="-23"/>
        <w:rPr>
          <w:rFonts w:eastAsia="Calibri" w:cs="Times New Roman"/>
          <w:szCs w:val="20"/>
        </w:rPr>
      </w:pPr>
      <w:bookmarkStart w:id="4" w:name="_Hlk513205245"/>
      <w:r>
        <w:rPr>
          <w:rFonts w:eastAsia="Calibri" w:cs="Times New Roman"/>
          <w:szCs w:val="20"/>
        </w:rPr>
        <w:t xml:space="preserve">RAN4 has specified the MRTD and MTTD for </w:t>
      </w:r>
      <w:r w:rsidR="007A15B5">
        <w:rPr>
          <w:rFonts w:eastAsia="Calibri" w:cs="Times New Roman"/>
          <w:szCs w:val="20"/>
        </w:rPr>
        <w:t>E-UTRA NR dual connectivity</w:t>
      </w:r>
      <w:r>
        <w:rPr>
          <w:rFonts w:eastAsia="Calibri" w:cs="Times New Roman"/>
          <w:szCs w:val="20"/>
        </w:rPr>
        <w:t xml:space="preserve">, and related requirements are </w:t>
      </w:r>
      <w:r w:rsidR="008A667A">
        <w:rPr>
          <w:rFonts w:eastAsia="Calibri" w:cs="Times New Roman"/>
          <w:szCs w:val="20"/>
        </w:rPr>
        <w:t xml:space="preserve">defined </w:t>
      </w:r>
      <w:r>
        <w:rPr>
          <w:rFonts w:eastAsia="Calibri" w:cs="Times New Roman"/>
          <w:szCs w:val="20"/>
        </w:rPr>
        <w:t>in section 7.5 and 7.6 of 38.133</w:t>
      </w:r>
      <w:r w:rsidR="007A15B5">
        <w:rPr>
          <w:rFonts w:eastAsia="Calibri" w:cs="Times New Roman"/>
          <w:szCs w:val="20"/>
        </w:rPr>
        <w:t xml:space="preserve"> [1]</w:t>
      </w:r>
      <w:r>
        <w:rPr>
          <w:rFonts w:eastAsia="Calibri" w:cs="Times New Roman"/>
          <w:szCs w:val="20"/>
        </w:rPr>
        <w:t>.</w:t>
      </w:r>
      <w:r w:rsidR="007A15B5">
        <w:rPr>
          <w:rFonts w:eastAsia="Calibri" w:cs="Times New Roman"/>
          <w:szCs w:val="20"/>
        </w:rPr>
        <w:t xml:space="preserve"> However, the requirements are not very clear </w:t>
      </w:r>
      <w:r w:rsidR="004C76FA">
        <w:rPr>
          <w:rFonts w:eastAsia="Calibri" w:cs="Times New Roman"/>
          <w:szCs w:val="20"/>
        </w:rPr>
        <w:t>for inter-band EN-DC and inter-band NE-DC.</w:t>
      </w:r>
      <w:r>
        <w:rPr>
          <w:rFonts w:eastAsia="Calibri" w:cs="Times New Roman"/>
          <w:szCs w:val="20"/>
        </w:rPr>
        <w:t xml:space="preserve"> </w:t>
      </w:r>
    </w:p>
    <w:p w14:paraId="13E782BD" w14:textId="457625C8" w:rsidR="0030202A" w:rsidRPr="00126990" w:rsidRDefault="0030202A" w:rsidP="0030202A">
      <w:pPr>
        <w:ind w:right="-23"/>
        <w:rPr>
          <w:rFonts w:eastAsia="Calibri" w:cs="Times New Roman"/>
          <w:szCs w:val="20"/>
        </w:rPr>
      </w:pPr>
      <w:bookmarkStart w:id="5" w:name="_Hlk513205847"/>
      <w:bookmarkEnd w:id="4"/>
      <w:r>
        <w:rPr>
          <w:rFonts w:eastAsia="Calibri" w:cs="Times New Roman"/>
          <w:szCs w:val="20"/>
        </w:rPr>
        <w:t>In this paper, we will provide our views on</w:t>
      </w:r>
      <w:r w:rsidR="00DD7406">
        <w:rPr>
          <w:rFonts w:eastAsia="Calibri" w:cs="Times New Roman"/>
          <w:szCs w:val="20"/>
        </w:rPr>
        <w:t xml:space="preserve"> synchronous or asynchronous requirements in </w:t>
      </w:r>
      <w:r w:rsidRPr="005D6468">
        <w:rPr>
          <w:rFonts w:eastAsia="Calibri" w:cs="Times New Roman"/>
          <w:szCs w:val="20"/>
        </w:rPr>
        <w:t>MRTD and MTTD</w:t>
      </w:r>
      <w:r w:rsidR="00DD7406">
        <w:rPr>
          <w:rFonts w:eastAsia="Calibri" w:cs="Times New Roman"/>
          <w:szCs w:val="20"/>
        </w:rPr>
        <w:t xml:space="preserve"> requirements</w:t>
      </w:r>
      <w:r>
        <w:rPr>
          <w:rFonts w:eastAsia="Calibri" w:cs="Times New Roman"/>
          <w:szCs w:val="20"/>
        </w:rPr>
        <w:t>.</w:t>
      </w:r>
    </w:p>
    <w:bookmarkEnd w:id="5"/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79D450F4" w14:textId="304C49F6" w:rsidR="00B22085" w:rsidRDefault="00346F44" w:rsidP="00B22085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38.133 [1] section 7.5 and section 7.</w:t>
      </w:r>
      <w:r w:rsidR="005E4BA1">
        <w:rPr>
          <w:rFonts w:eastAsia="Calibri" w:cs="Times New Roman"/>
          <w:szCs w:val="20"/>
          <w:lang w:val="en-GB"/>
        </w:rPr>
        <w:t>6</w:t>
      </w:r>
      <w:r>
        <w:rPr>
          <w:rFonts w:eastAsia="Calibri" w:cs="Times New Roman"/>
          <w:szCs w:val="20"/>
          <w:lang w:val="en-GB"/>
        </w:rPr>
        <w:t>,</w:t>
      </w:r>
      <w:r w:rsidR="005E4BA1">
        <w:rPr>
          <w:rFonts w:eastAsia="Calibri" w:cs="Times New Roman"/>
          <w:szCs w:val="20"/>
          <w:lang w:val="en-GB"/>
        </w:rPr>
        <w:t xml:space="preserve"> </w:t>
      </w:r>
      <w:r>
        <w:rPr>
          <w:rFonts w:eastAsia="Calibri" w:cs="Times New Roman"/>
          <w:szCs w:val="20"/>
          <w:lang w:val="en-GB"/>
        </w:rPr>
        <w:t xml:space="preserve">the requirements for MTTD and MRTD are defined for </w:t>
      </w:r>
    </w:p>
    <w:p w14:paraId="21D28F7A" w14:textId="77777777" w:rsidR="00346F44" w:rsidRDefault="00346F44" w:rsidP="00346F44">
      <w:pPr>
        <w:pStyle w:val="ListParagraph"/>
        <w:numPr>
          <w:ilvl w:val="0"/>
          <w:numId w:val="21"/>
        </w:numPr>
        <w:spacing w:before="120" w:after="120"/>
        <w:ind w:right="-23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Inter-band synchronous EN-DC</w:t>
      </w:r>
    </w:p>
    <w:p w14:paraId="25D6EDC7" w14:textId="77777777" w:rsidR="00346F44" w:rsidRPr="002F331F" w:rsidRDefault="00346F44" w:rsidP="00346F44">
      <w:pPr>
        <w:pStyle w:val="ListParagraph"/>
        <w:numPr>
          <w:ilvl w:val="0"/>
          <w:numId w:val="21"/>
        </w:numPr>
        <w:spacing w:before="120" w:after="120"/>
        <w:rPr>
          <w:rFonts w:eastAsia="Calibri" w:cs="Times New Roman"/>
          <w:szCs w:val="20"/>
        </w:rPr>
      </w:pPr>
      <w:r w:rsidRPr="002F331F">
        <w:rPr>
          <w:rFonts w:eastAsia="Calibri" w:cs="Times New Roman"/>
          <w:szCs w:val="20"/>
        </w:rPr>
        <w:t xml:space="preserve">Inter-band </w:t>
      </w:r>
      <w:r>
        <w:rPr>
          <w:rFonts w:eastAsia="Calibri" w:cs="Times New Roman"/>
          <w:szCs w:val="20"/>
        </w:rPr>
        <w:t>a</w:t>
      </w:r>
      <w:r w:rsidRPr="002F331F">
        <w:rPr>
          <w:rFonts w:eastAsia="Calibri" w:cs="Times New Roman"/>
          <w:szCs w:val="20"/>
        </w:rPr>
        <w:t>synchronous EN-DC</w:t>
      </w:r>
    </w:p>
    <w:p w14:paraId="416CAF8E" w14:textId="77777777" w:rsidR="00346F44" w:rsidRPr="002F331F" w:rsidRDefault="00346F44" w:rsidP="00346F44">
      <w:pPr>
        <w:pStyle w:val="ListParagraph"/>
        <w:numPr>
          <w:ilvl w:val="0"/>
          <w:numId w:val="21"/>
        </w:numPr>
        <w:spacing w:before="120" w:after="120"/>
        <w:rPr>
          <w:rFonts w:eastAsia="Calibri" w:cs="Times New Roman"/>
          <w:szCs w:val="20"/>
        </w:rPr>
      </w:pPr>
      <w:r w:rsidRPr="002F331F">
        <w:rPr>
          <w:rFonts w:eastAsia="Calibri" w:cs="Times New Roman"/>
          <w:szCs w:val="20"/>
        </w:rPr>
        <w:t>Int</w:t>
      </w:r>
      <w:r>
        <w:rPr>
          <w:rFonts w:eastAsia="Calibri" w:cs="Times New Roman"/>
          <w:szCs w:val="20"/>
        </w:rPr>
        <w:t>ra</w:t>
      </w:r>
      <w:r w:rsidRPr="002F331F">
        <w:rPr>
          <w:rFonts w:eastAsia="Calibri" w:cs="Times New Roman"/>
          <w:szCs w:val="20"/>
        </w:rPr>
        <w:t>-band synchronous EN-DC</w:t>
      </w:r>
    </w:p>
    <w:p w14:paraId="0197A046" w14:textId="77777777" w:rsidR="00346F44" w:rsidRPr="002F331F" w:rsidRDefault="00346F44" w:rsidP="00346F44">
      <w:pPr>
        <w:pStyle w:val="ListParagraph"/>
        <w:numPr>
          <w:ilvl w:val="0"/>
          <w:numId w:val="21"/>
        </w:numPr>
        <w:spacing w:before="120" w:after="120"/>
        <w:rPr>
          <w:rFonts w:eastAsia="Calibri" w:cs="Times New Roman"/>
          <w:szCs w:val="20"/>
        </w:rPr>
      </w:pPr>
      <w:r w:rsidRPr="002F331F">
        <w:rPr>
          <w:rFonts w:eastAsia="Calibri" w:cs="Times New Roman"/>
          <w:szCs w:val="20"/>
        </w:rPr>
        <w:t>Int</w:t>
      </w:r>
      <w:r>
        <w:rPr>
          <w:rFonts w:eastAsia="Calibri" w:cs="Times New Roman"/>
          <w:szCs w:val="20"/>
        </w:rPr>
        <w:t>ra</w:t>
      </w:r>
      <w:r w:rsidRPr="002F331F">
        <w:rPr>
          <w:rFonts w:eastAsia="Calibri" w:cs="Times New Roman"/>
          <w:szCs w:val="20"/>
        </w:rPr>
        <w:t xml:space="preserve">-band </w:t>
      </w:r>
      <w:r>
        <w:rPr>
          <w:rFonts w:eastAsia="Calibri" w:cs="Times New Roman"/>
          <w:szCs w:val="20"/>
        </w:rPr>
        <w:t>a</w:t>
      </w:r>
      <w:r w:rsidRPr="002F331F">
        <w:rPr>
          <w:rFonts w:eastAsia="Calibri" w:cs="Times New Roman"/>
          <w:szCs w:val="20"/>
        </w:rPr>
        <w:t>synchronous EN-DC</w:t>
      </w:r>
    </w:p>
    <w:p w14:paraId="708F119A" w14:textId="7858B80B" w:rsidR="00346F44" w:rsidRDefault="009258F6" w:rsidP="00B22085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The UE capability in supporting above EN-DC type are agreed in </w:t>
      </w:r>
      <w:r>
        <w:rPr>
          <w:rFonts w:eastAsia="Calibri" w:cs="Times New Roman"/>
          <w:szCs w:val="20"/>
        </w:rPr>
        <w:fldChar w:fldCharType="begin"/>
      </w:r>
      <w:r>
        <w:rPr>
          <w:rFonts w:eastAsia="Calibri" w:cs="Times New Roman"/>
          <w:szCs w:val="20"/>
        </w:rPr>
        <w:instrText xml:space="preserve"> REF _Ref521603835 \r \h </w:instrText>
      </w:r>
      <w:r>
        <w:rPr>
          <w:rFonts w:eastAsia="Calibri" w:cs="Times New Roman"/>
          <w:szCs w:val="20"/>
        </w:rPr>
      </w:r>
      <w:r>
        <w:rPr>
          <w:rFonts w:eastAsia="Calibri" w:cs="Times New Roman"/>
          <w:szCs w:val="20"/>
        </w:rPr>
        <w:fldChar w:fldCharType="separate"/>
      </w:r>
      <w:r>
        <w:rPr>
          <w:rFonts w:eastAsia="Calibri" w:cs="Times New Roman"/>
          <w:szCs w:val="20"/>
        </w:rPr>
        <w:t>[</w:t>
      </w:r>
      <w:r w:rsidR="00163B43">
        <w:rPr>
          <w:rFonts w:eastAsia="Calibri" w:cs="Times New Roman"/>
          <w:szCs w:val="20"/>
        </w:rPr>
        <w:t>2</w:t>
      </w:r>
      <w:r>
        <w:rPr>
          <w:rFonts w:eastAsia="Calibri" w:cs="Times New Roman"/>
          <w:szCs w:val="20"/>
        </w:rPr>
        <w:t>]</w:t>
      </w:r>
      <w:r>
        <w:rPr>
          <w:rFonts w:eastAsia="Calibri" w:cs="Times New Roman"/>
          <w:szCs w:val="20"/>
        </w:rPr>
        <w:fldChar w:fldCharType="end"/>
      </w:r>
      <w:r>
        <w:rPr>
          <w:rFonts w:eastAsia="Calibri" w:cs="Times New Roman"/>
          <w:szCs w:val="20"/>
        </w:rPr>
        <w:t xml:space="preserve">, and the clarification </w:t>
      </w:r>
      <w:r w:rsidR="00163B43">
        <w:rPr>
          <w:rFonts w:eastAsia="Calibri" w:cs="Times New Roman"/>
          <w:szCs w:val="20"/>
        </w:rPr>
        <w:t xml:space="preserve">on EN-DC deployment </w:t>
      </w:r>
      <w:r>
        <w:rPr>
          <w:rFonts w:eastAsia="Calibri" w:cs="Times New Roman"/>
          <w:szCs w:val="20"/>
        </w:rPr>
        <w:t>s</w:t>
      </w:r>
      <w:r w:rsidR="00163B43">
        <w:rPr>
          <w:rFonts w:eastAsia="Calibri" w:cs="Times New Roman"/>
          <w:szCs w:val="20"/>
        </w:rPr>
        <w:t>c</w:t>
      </w:r>
      <w:r>
        <w:rPr>
          <w:rFonts w:eastAsia="Calibri" w:cs="Times New Roman"/>
          <w:szCs w:val="20"/>
        </w:rPr>
        <w:t>ena</w:t>
      </w:r>
      <w:r w:rsidR="00163B43">
        <w:rPr>
          <w:rFonts w:eastAsia="Calibri" w:cs="Times New Roman"/>
          <w:szCs w:val="20"/>
        </w:rPr>
        <w:t>r</w:t>
      </w:r>
      <w:r>
        <w:rPr>
          <w:rFonts w:eastAsia="Calibri" w:cs="Times New Roman"/>
          <w:szCs w:val="20"/>
        </w:rPr>
        <w:t xml:space="preserve">ios are </w:t>
      </w:r>
      <w:r w:rsidR="00163B43">
        <w:rPr>
          <w:rFonts w:eastAsia="Calibri" w:cs="Times New Roman"/>
          <w:szCs w:val="20"/>
        </w:rPr>
        <w:t>agreed in [3]</w:t>
      </w:r>
      <w:r w:rsidR="00CD6132">
        <w:rPr>
          <w:rFonts w:eastAsia="Calibri" w:cs="Times New Roman"/>
          <w:szCs w:val="20"/>
        </w:rPr>
        <w:t xml:space="preserve">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63B43" w14:paraId="22517B5F" w14:textId="77777777" w:rsidTr="00163B43">
        <w:tc>
          <w:tcPr>
            <w:tcW w:w="9617" w:type="dxa"/>
          </w:tcPr>
          <w:p w14:paraId="59737620" w14:textId="77777777" w:rsidR="00163B43" w:rsidRDefault="00163B43" w:rsidP="00B22085">
            <w:pPr>
              <w:ind w:right="-22"/>
              <w:rPr>
                <w:rFonts w:eastAsia="Calibri" w:cs="Times New Roman"/>
                <w:noProof/>
                <w:szCs w:val="20"/>
                <w:lang w:val="en-GB"/>
              </w:rPr>
            </w:pPr>
          </w:p>
          <w:p w14:paraId="54EB5442" w14:textId="6C844FB6" w:rsidR="00163B43" w:rsidRDefault="00163B43" w:rsidP="00B22085">
            <w:pPr>
              <w:ind w:right="-22"/>
            </w:pPr>
            <w:r>
              <w:object w:dxaOrig="10932" w:dyaOrig="5268" w14:anchorId="319D731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6.8pt;height:224.4pt" o:ole="">
                  <v:imagedata r:id="rId8" o:title=""/>
                </v:shape>
                <o:OLEObject Type="Embed" ProgID="PBrush" ShapeID="_x0000_i1025" DrawAspect="Content" ObjectID="_1631745548" r:id="rId9"/>
              </w:object>
            </w:r>
          </w:p>
          <w:p w14:paraId="2BB6E3E4" w14:textId="7C43ED16" w:rsidR="00163B43" w:rsidRDefault="00163B43" w:rsidP="00B22085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</w:tc>
      </w:tr>
    </w:tbl>
    <w:p w14:paraId="50CC11C4" w14:textId="7E9980F8" w:rsidR="00163B43" w:rsidRDefault="00163B43" w:rsidP="00B22085">
      <w:pPr>
        <w:ind w:right="-22"/>
        <w:rPr>
          <w:rFonts w:eastAsia="Calibri" w:cs="Times New Roman"/>
          <w:szCs w:val="20"/>
          <w:lang w:val="en-GB"/>
        </w:rPr>
      </w:pPr>
    </w:p>
    <w:p w14:paraId="14172C9C" w14:textId="122A5D22" w:rsidR="004C76FA" w:rsidRDefault="004C76FA" w:rsidP="00CD6132">
      <w:r>
        <w:t xml:space="preserve">For inter-band EN-DC, RAN2 and RAN4 has common agreement that </w:t>
      </w:r>
      <w:r w:rsidRPr="004C76FA">
        <w:t>all UEs support asynchronous DC between LTE and NR for inter-band LTE-NR in Rel-15</w:t>
      </w:r>
      <w:r>
        <w:t>, and no UE capability signaling is needed for this.</w:t>
      </w:r>
    </w:p>
    <w:p w14:paraId="1F6FC058" w14:textId="0FEBCDE1" w:rsidR="00CD6132" w:rsidRDefault="004C76FA" w:rsidP="00CD6132">
      <w:pPr>
        <w:rPr>
          <w:rFonts w:eastAsia="Calibri" w:cs="Times New Roman"/>
          <w:szCs w:val="20"/>
        </w:rPr>
      </w:pPr>
      <w:r>
        <w:lastRenderedPageBreak/>
        <w:t>This information is stated i</w:t>
      </w:r>
      <w:r w:rsidR="00CD6132">
        <w:t xml:space="preserve">n </w:t>
      </w:r>
      <w:r w:rsidR="00CD6132">
        <w:rPr>
          <w:rFonts w:eastAsia="Calibri" w:cs="Times New Roman"/>
          <w:szCs w:val="20"/>
        </w:rPr>
        <w:fldChar w:fldCharType="begin"/>
      </w:r>
      <w:r w:rsidR="00CD6132">
        <w:rPr>
          <w:rFonts w:eastAsia="Calibri" w:cs="Times New Roman"/>
          <w:szCs w:val="20"/>
        </w:rPr>
        <w:instrText xml:space="preserve"> REF _Ref521603835 \r \h </w:instrText>
      </w:r>
      <w:r w:rsidR="00CD6132">
        <w:rPr>
          <w:rFonts w:eastAsia="Calibri" w:cs="Times New Roman"/>
          <w:szCs w:val="20"/>
        </w:rPr>
      </w:r>
      <w:r w:rsidR="00CD6132">
        <w:rPr>
          <w:rFonts w:eastAsia="Calibri" w:cs="Times New Roman"/>
          <w:szCs w:val="20"/>
        </w:rPr>
        <w:fldChar w:fldCharType="separate"/>
      </w:r>
      <w:r w:rsidR="00CD6132">
        <w:rPr>
          <w:rFonts w:eastAsia="Calibri" w:cs="Times New Roman"/>
          <w:szCs w:val="20"/>
        </w:rPr>
        <w:t>[2]</w:t>
      </w:r>
      <w:r w:rsidR="00CD6132">
        <w:rPr>
          <w:rFonts w:eastAsia="Calibri" w:cs="Times New Roman"/>
          <w:szCs w:val="20"/>
        </w:rPr>
        <w:fldChar w:fldCharType="end"/>
      </w:r>
      <w:r>
        <w:rPr>
          <w:rFonts w:eastAsia="Calibri" w:cs="Times New Roman"/>
          <w:szCs w:val="20"/>
        </w:rPr>
        <w:t xml:space="preserve">, and clarified in [3]: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D6132" w14:paraId="6FFC869D" w14:textId="77777777" w:rsidTr="00507A69">
        <w:tc>
          <w:tcPr>
            <w:tcW w:w="9617" w:type="dxa"/>
          </w:tcPr>
          <w:p w14:paraId="1D32C4DD" w14:textId="77777777" w:rsidR="00CD6132" w:rsidRPr="005D6468" w:rsidRDefault="00CD6132" w:rsidP="00CD6132">
            <w:pPr>
              <w:numPr>
                <w:ilvl w:val="0"/>
                <w:numId w:val="24"/>
              </w:numPr>
              <w:spacing w:before="120" w:after="120"/>
            </w:pPr>
            <w:r w:rsidRPr="005D6468">
              <w:t xml:space="preserve">All UEs support asynchronous </w:t>
            </w:r>
            <w:bookmarkStart w:id="6" w:name="_Hlk21088253"/>
            <w:r w:rsidRPr="005D6468">
              <w:t xml:space="preserve">DC between LTE and NR </w:t>
            </w:r>
            <w:bookmarkEnd w:id="6"/>
            <w:r w:rsidRPr="005D6468">
              <w:t>for inter-band LTE-NR in Rel-15.</w:t>
            </w:r>
          </w:p>
          <w:p w14:paraId="3FB72468" w14:textId="77777777" w:rsidR="00CD6132" w:rsidRDefault="00CD6132" w:rsidP="00CD6132">
            <w:pPr>
              <w:numPr>
                <w:ilvl w:val="1"/>
                <w:numId w:val="24"/>
              </w:numPr>
              <w:spacing w:before="120" w:after="120"/>
            </w:pPr>
            <w:r w:rsidRPr="005D6468">
              <w:t>Asynchronous here refers to subframe/slot timing boundary alignment</w:t>
            </w:r>
          </w:p>
        </w:tc>
      </w:tr>
    </w:tbl>
    <w:p w14:paraId="3662F2AB" w14:textId="77777777" w:rsidR="004C76FA" w:rsidRDefault="004C76FA" w:rsidP="00CD61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C76FA" w14:paraId="7B538BE7" w14:textId="77777777" w:rsidTr="004C76FA">
        <w:tc>
          <w:tcPr>
            <w:tcW w:w="9617" w:type="dxa"/>
          </w:tcPr>
          <w:p w14:paraId="14545B98" w14:textId="77777777" w:rsidR="004C76FA" w:rsidRPr="008B57FE" w:rsidRDefault="004C76FA" w:rsidP="004C76FA">
            <w:pPr>
              <w:spacing w:afterLines="50" w:after="120"/>
              <w:jc w:val="both"/>
              <w:rPr>
                <w:rFonts w:ascii="Calibri" w:eastAsia="宋体" w:hAnsi="Calibri" w:cs="Arial"/>
                <w:b/>
                <w:i/>
                <w:u w:val="single"/>
                <w:lang w:eastAsia="zh-CN"/>
              </w:rPr>
            </w:pPr>
            <w:r w:rsidRPr="008B57FE">
              <w:rPr>
                <w:rFonts w:ascii="Calibri" w:eastAsia="宋体" w:hAnsi="Calibri" w:cs="Arial" w:hint="eastAsia"/>
                <w:b/>
                <w:i/>
                <w:u w:val="single"/>
                <w:lang w:eastAsia="zh-CN"/>
              </w:rPr>
              <w:t>Observation</w:t>
            </w:r>
            <w:r>
              <w:rPr>
                <w:rFonts w:ascii="Calibri" w:eastAsia="宋体" w:hAnsi="Calibri" w:cs="Arial" w:hint="eastAsia"/>
                <w:b/>
                <w:i/>
                <w:u w:val="single"/>
                <w:lang w:eastAsia="zh-CN"/>
              </w:rPr>
              <w:t xml:space="preserve"> 1</w:t>
            </w:r>
            <w:r w:rsidRPr="008B57FE">
              <w:rPr>
                <w:rFonts w:ascii="Calibri" w:eastAsia="宋体" w:hAnsi="Calibri" w:cs="Arial" w:hint="eastAsia"/>
                <w:b/>
                <w:i/>
                <w:u w:val="single"/>
                <w:lang w:eastAsia="zh-CN"/>
              </w:rPr>
              <w:t xml:space="preserve">: RAN2 and RAN4 have clear agreement that </w:t>
            </w:r>
            <w:r w:rsidRPr="008B57FE">
              <w:rPr>
                <w:rFonts w:ascii="Calibri" w:eastAsia="宋体" w:hAnsi="Calibri" w:cs="Arial"/>
                <w:b/>
                <w:i/>
                <w:u w:val="single"/>
                <w:lang w:eastAsia="zh-CN"/>
              </w:rPr>
              <w:t>“</w:t>
            </w:r>
            <w:r w:rsidRPr="008B57FE">
              <w:rPr>
                <w:rFonts w:ascii="Calibri" w:eastAsia="宋体" w:hAnsi="Calibri" w:cs="Arial" w:hint="eastAsia"/>
                <w:b/>
                <w:i/>
                <w:u w:val="single"/>
                <w:lang w:eastAsia="zh-CN"/>
              </w:rPr>
              <w:t>for inter-band EN-DC, all UEs support asynchronous DC between LTE and NR for inter-band LTE-NR in Rel-15</w:t>
            </w:r>
            <w:r w:rsidRPr="008B57FE">
              <w:rPr>
                <w:rFonts w:ascii="Calibri" w:eastAsia="宋体" w:hAnsi="Calibri" w:cs="Arial"/>
                <w:b/>
                <w:i/>
                <w:u w:val="single"/>
                <w:lang w:eastAsia="zh-CN"/>
              </w:rPr>
              <w:t>”</w:t>
            </w:r>
            <w:r w:rsidRPr="008B57FE">
              <w:rPr>
                <w:rFonts w:ascii="Calibri" w:eastAsia="宋体" w:hAnsi="Calibri" w:cs="Arial" w:hint="eastAsia"/>
                <w:b/>
                <w:i/>
                <w:u w:val="single"/>
                <w:lang w:eastAsia="zh-CN"/>
              </w:rPr>
              <w:t>, and no UE capability signaling is needed</w:t>
            </w:r>
            <w:r>
              <w:rPr>
                <w:rFonts w:ascii="Calibri" w:eastAsia="宋体" w:hAnsi="Calibri" w:cs="Arial" w:hint="eastAsia"/>
                <w:b/>
                <w:i/>
                <w:u w:val="single"/>
                <w:lang w:eastAsia="zh-CN"/>
              </w:rPr>
              <w:t xml:space="preserve"> for this</w:t>
            </w:r>
            <w:r w:rsidRPr="008B57FE">
              <w:rPr>
                <w:rFonts w:ascii="Calibri" w:eastAsia="宋体" w:hAnsi="Calibri" w:cs="Arial" w:hint="eastAsia"/>
                <w:b/>
                <w:i/>
                <w:u w:val="single"/>
                <w:lang w:eastAsia="zh-CN"/>
              </w:rPr>
              <w:t xml:space="preserve">. </w:t>
            </w:r>
          </w:p>
          <w:p w14:paraId="4245571B" w14:textId="77777777" w:rsidR="004C76FA" w:rsidRDefault="004C76FA" w:rsidP="004C76FA">
            <w:pPr>
              <w:spacing w:afterLines="50" w:after="120"/>
              <w:jc w:val="both"/>
              <w:rPr>
                <w:rFonts w:ascii="Calibri" w:eastAsia="宋体" w:hAnsi="Calibri" w:cs="Arial"/>
                <w:b/>
                <w:i/>
                <w:u w:val="single"/>
                <w:lang w:eastAsia="zh-CN"/>
              </w:rPr>
            </w:pPr>
            <w:r>
              <w:rPr>
                <w:rFonts w:ascii="Calibri" w:eastAsia="宋体" w:hAnsi="Calibri" w:cs="Arial" w:hint="eastAsia"/>
                <w:b/>
                <w:i/>
                <w:u w:val="single"/>
                <w:lang w:eastAsia="zh-CN"/>
              </w:rPr>
              <w:t>Proposal 2</w:t>
            </w:r>
            <w:r w:rsidRPr="008B57FE">
              <w:rPr>
                <w:rFonts w:ascii="Calibri" w:eastAsia="宋体" w:hAnsi="Calibri" w:cs="Arial" w:hint="eastAsia"/>
                <w:b/>
                <w:i/>
                <w:u w:val="single"/>
                <w:lang w:eastAsia="zh-CN"/>
              </w:rPr>
              <w:t xml:space="preserve">: </w:t>
            </w:r>
            <w:r>
              <w:rPr>
                <w:rFonts w:ascii="Calibri" w:eastAsia="宋体" w:hAnsi="Calibri" w:cs="Arial" w:hint="eastAsia"/>
                <w:b/>
                <w:i/>
                <w:u w:val="single"/>
                <w:lang w:eastAsia="zh-CN"/>
              </w:rPr>
              <w:t xml:space="preserve">RAN4 reconfirm the agreement that </w:t>
            </w:r>
            <w:r w:rsidRPr="008B57FE">
              <w:rPr>
                <w:rFonts w:ascii="Calibri" w:eastAsia="宋体" w:hAnsi="Calibri" w:cs="Arial"/>
                <w:b/>
                <w:i/>
                <w:u w:val="single"/>
                <w:lang w:eastAsia="zh-CN"/>
              </w:rPr>
              <w:t>“</w:t>
            </w:r>
            <w:r w:rsidRPr="008B57FE">
              <w:rPr>
                <w:rFonts w:ascii="Calibri" w:eastAsia="宋体" w:hAnsi="Calibri" w:cs="Arial" w:hint="eastAsia"/>
                <w:b/>
                <w:i/>
                <w:u w:val="single"/>
                <w:lang w:eastAsia="zh-CN"/>
              </w:rPr>
              <w:t>for inter-band EN-DC, all UEs support asynchronous DC between LTE and NR for inter-band LTE-NR in Rel-15</w:t>
            </w:r>
            <w:r w:rsidRPr="008B57FE">
              <w:rPr>
                <w:rFonts w:ascii="Calibri" w:eastAsia="宋体" w:hAnsi="Calibri" w:cs="Arial"/>
                <w:b/>
                <w:i/>
                <w:u w:val="single"/>
                <w:lang w:eastAsia="zh-CN"/>
              </w:rPr>
              <w:t>”</w:t>
            </w:r>
            <w:r>
              <w:rPr>
                <w:rFonts w:ascii="Calibri" w:eastAsia="宋体" w:hAnsi="Calibri" w:cs="Arial" w:hint="eastAsia"/>
                <w:b/>
                <w:i/>
                <w:u w:val="single"/>
                <w:lang w:eastAsia="zh-CN"/>
              </w:rPr>
              <w:t>.</w:t>
            </w:r>
          </w:p>
          <w:p w14:paraId="7F3A5172" w14:textId="3D1185EE" w:rsidR="004C76FA" w:rsidRPr="004C76FA" w:rsidRDefault="004C76FA" w:rsidP="004C76FA">
            <w:pPr>
              <w:spacing w:afterLines="50" w:after="120"/>
              <w:jc w:val="both"/>
              <w:rPr>
                <w:rFonts w:ascii="Calibri" w:eastAsia="宋体" w:hAnsi="Calibri" w:cs="Arial"/>
                <w:b/>
                <w:i/>
                <w:u w:val="single"/>
                <w:lang w:eastAsia="zh-CN"/>
              </w:rPr>
            </w:pPr>
            <w:r>
              <w:rPr>
                <w:rFonts w:ascii="Calibri" w:eastAsia="宋体" w:hAnsi="Calibri" w:cs="Arial" w:hint="eastAsia"/>
                <w:b/>
                <w:i/>
                <w:u w:val="single"/>
                <w:lang w:eastAsia="zh-CN"/>
              </w:rPr>
              <w:t>Proposal 3: No need to introduce UE capability signaling to discriminate</w:t>
            </w:r>
            <w:r w:rsidRPr="00DB6FBA">
              <w:t xml:space="preserve"> </w:t>
            </w:r>
            <w:r w:rsidRPr="00DB6FBA">
              <w:rPr>
                <w:rFonts w:ascii="Calibri" w:eastAsia="宋体" w:hAnsi="Calibri" w:cs="Arial"/>
                <w:b/>
                <w:i/>
                <w:u w:val="single"/>
                <w:lang w:eastAsia="zh-CN"/>
              </w:rPr>
              <w:t>UE support of “synchronous EN-DC only” or “asynchronous EN-DC (i.e., support both synchronous and asynchronous EN-DC)” for inter-band TDD-FDD and inter-band TDD-TDD EN-DC combinations.</w:t>
            </w:r>
            <w:r>
              <w:rPr>
                <w:rFonts w:ascii="Calibri" w:eastAsia="宋体" w:hAnsi="Calibri" w:cs="Arial" w:hint="eastAsia"/>
                <w:b/>
                <w:i/>
                <w:u w:val="single"/>
                <w:lang w:eastAsia="zh-CN"/>
              </w:rPr>
              <w:t xml:space="preserve"> </w:t>
            </w:r>
          </w:p>
        </w:tc>
      </w:tr>
    </w:tbl>
    <w:p w14:paraId="78DB2FCF" w14:textId="6445FD17" w:rsidR="004C76FA" w:rsidRDefault="004C76FA" w:rsidP="00CD6132"/>
    <w:p w14:paraId="6C0B38B7" w14:textId="578694D4" w:rsidR="004C76FA" w:rsidRDefault="004C76FA" w:rsidP="00CD6132">
      <w:r>
        <w:t>In 38.133 [1],</w:t>
      </w:r>
      <w:r w:rsidR="00072D77">
        <w:t xml:space="preserve"> MTTD requirements for inter-band EN-DC defined as blow: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C76FA" w14:paraId="2DDF61C1" w14:textId="77777777" w:rsidTr="004C76FA">
        <w:tc>
          <w:tcPr>
            <w:tcW w:w="9617" w:type="dxa"/>
          </w:tcPr>
          <w:p w14:paraId="3E4D6682" w14:textId="77777777" w:rsidR="00072D77" w:rsidRPr="00072D77" w:rsidRDefault="00072D77" w:rsidP="00072D77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宋体" w:hAnsi="Arial" w:cs="Times New Roman"/>
                <w:sz w:val="28"/>
                <w:szCs w:val="20"/>
                <w:lang w:val="en-GB" w:eastAsia="ko-KR"/>
              </w:rPr>
            </w:pPr>
            <w:r w:rsidRPr="00072D77">
              <w:rPr>
                <w:rFonts w:ascii="Arial" w:eastAsia="宋体" w:hAnsi="Arial" w:cs="Times New Roman"/>
                <w:sz w:val="28"/>
                <w:szCs w:val="20"/>
                <w:lang w:val="en-GB" w:eastAsia="ko-KR"/>
              </w:rPr>
              <w:t>7.5.2</w:t>
            </w:r>
            <w:r w:rsidRPr="00072D77">
              <w:rPr>
                <w:rFonts w:ascii="Arial" w:eastAsia="宋体" w:hAnsi="Arial" w:cs="Times New Roman"/>
                <w:sz w:val="28"/>
                <w:szCs w:val="20"/>
                <w:lang w:val="en-GB" w:eastAsia="ko-KR"/>
              </w:rPr>
              <w:tab/>
              <w:t xml:space="preserve">Minimum Requirements for </w:t>
            </w:r>
            <w:r w:rsidRPr="00072D77">
              <w:rPr>
                <w:rFonts w:ascii="Arial" w:eastAsia="宋体" w:hAnsi="Arial" w:cs="Times New Roman"/>
                <w:sz w:val="28"/>
                <w:szCs w:val="20"/>
                <w:lang w:val="en-GB"/>
              </w:rPr>
              <w:t>inter-band EN-DC</w:t>
            </w:r>
          </w:p>
          <w:p w14:paraId="3A62702E" w14:textId="77777777" w:rsidR="00072D77" w:rsidRPr="00072D77" w:rsidRDefault="00072D77" w:rsidP="00072D77">
            <w:pPr>
              <w:spacing w:after="180"/>
              <w:rPr>
                <w:rFonts w:eastAsia="宋体" w:cs="v4.2.0"/>
                <w:szCs w:val="20"/>
                <w:lang w:val="en-GB" w:eastAsia="zh-CN"/>
              </w:rPr>
            </w:pPr>
            <w:r w:rsidRPr="00072D77">
              <w:rPr>
                <w:rFonts w:eastAsia="Malgun Gothic" w:cs="v4.2.0"/>
                <w:szCs w:val="20"/>
                <w:lang w:val="en-GB"/>
              </w:rPr>
              <w:t>The</w:t>
            </w:r>
            <w:r w:rsidRPr="00072D77">
              <w:rPr>
                <w:rFonts w:eastAsia="宋体" w:cs="v4.2.0"/>
                <w:szCs w:val="20"/>
                <w:lang w:val="en-GB"/>
              </w:rPr>
              <w:t xml:space="preserve"> UE shall be capable of handling a maximum uplink transmission timing difference between E-UTRA PCell and PSCell as shown in Table 7.5.2-1.</w:t>
            </w:r>
          </w:p>
          <w:p w14:paraId="6D765E37" w14:textId="77777777" w:rsidR="00072D77" w:rsidRPr="00072D77" w:rsidRDefault="00072D77" w:rsidP="00072D77">
            <w:pPr>
              <w:keepNext/>
              <w:keepLines/>
              <w:spacing w:before="60" w:after="180"/>
              <w:jc w:val="center"/>
              <w:rPr>
                <w:rFonts w:ascii="Arial" w:eastAsia="宋体" w:hAnsi="Arial" w:cs="Times New Roman"/>
                <w:b/>
                <w:snapToGrid w:val="0"/>
                <w:szCs w:val="20"/>
                <w:lang w:val="en-GB"/>
              </w:rPr>
            </w:pPr>
            <w:r w:rsidRPr="00072D77">
              <w:rPr>
                <w:rFonts w:ascii="Arial" w:eastAsia="宋体" w:hAnsi="Arial" w:cs="Times New Roman"/>
                <w:b/>
                <w:snapToGrid w:val="0"/>
                <w:szCs w:val="20"/>
                <w:lang w:val="en-GB"/>
              </w:rPr>
              <w:t xml:space="preserve">Table 7.5.2-1 Maximum uplink transmission timing difference requirement for asynchronous </w:t>
            </w:r>
            <w:r w:rsidRPr="00072D77">
              <w:rPr>
                <w:rFonts w:ascii="Arial" w:eastAsia="宋体" w:hAnsi="Arial" w:cs="Times New Roman"/>
                <w:b/>
                <w:snapToGrid w:val="0"/>
                <w:szCs w:val="20"/>
                <w:lang w:val="en-GB" w:eastAsia="zh-CN"/>
              </w:rPr>
              <w:t>EN-DC</w:t>
            </w:r>
          </w:p>
          <w:tbl>
            <w:tblPr>
              <w:tblW w:w="0" w:type="auto"/>
              <w:tblInd w:w="19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84"/>
              <w:gridCol w:w="1985"/>
              <w:gridCol w:w="2693"/>
            </w:tblGrid>
            <w:tr w:rsidR="00072D77" w:rsidRPr="00072D77" w14:paraId="4FAAC43D" w14:textId="77777777" w:rsidTr="00507A69">
              <w:tc>
                <w:tcPr>
                  <w:tcW w:w="1984" w:type="dxa"/>
                  <w:shd w:val="clear" w:color="auto" w:fill="auto"/>
                </w:tcPr>
                <w:p w14:paraId="71094516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  <w:t>Sub-carrier spacing in E-UTRA PCell (kHz)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0BAC466B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  <w:t>UL Sub-carrier spacing for data in PSCell (kHz)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14:paraId="6B164039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  <w:t>Maximum uplink transmission timing difference (µs)</w:t>
                  </w:r>
                </w:p>
              </w:tc>
            </w:tr>
            <w:tr w:rsidR="00072D77" w:rsidRPr="00072D77" w14:paraId="44B5767C" w14:textId="77777777" w:rsidTr="00507A69">
              <w:tc>
                <w:tcPr>
                  <w:tcW w:w="1984" w:type="dxa"/>
                  <w:shd w:val="clear" w:color="auto" w:fill="auto"/>
                </w:tcPr>
                <w:p w14:paraId="653749F9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151DD24A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14:paraId="34192BE3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500</w:t>
                  </w:r>
                </w:p>
              </w:tc>
            </w:tr>
            <w:tr w:rsidR="00072D77" w:rsidRPr="00072D77" w14:paraId="037D7A4E" w14:textId="77777777" w:rsidTr="00507A69">
              <w:tc>
                <w:tcPr>
                  <w:tcW w:w="1984" w:type="dxa"/>
                  <w:shd w:val="clear" w:color="auto" w:fill="auto"/>
                </w:tcPr>
                <w:p w14:paraId="008F56C8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1600E112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30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14:paraId="3AC71BAC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250</w:t>
                  </w:r>
                </w:p>
              </w:tc>
            </w:tr>
            <w:tr w:rsidR="00072D77" w:rsidRPr="00072D77" w14:paraId="56CE8DDC" w14:textId="77777777" w:rsidTr="00507A69">
              <w:tc>
                <w:tcPr>
                  <w:tcW w:w="1984" w:type="dxa"/>
                  <w:shd w:val="clear" w:color="auto" w:fill="auto"/>
                </w:tcPr>
                <w:p w14:paraId="7FC9B1D6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77B86516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60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14:paraId="780AF10E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125</w:t>
                  </w:r>
                </w:p>
              </w:tc>
            </w:tr>
            <w:tr w:rsidR="00072D77" w:rsidRPr="00072D77" w14:paraId="14ABE506" w14:textId="77777777" w:rsidTr="00507A69">
              <w:tc>
                <w:tcPr>
                  <w:tcW w:w="1984" w:type="dxa"/>
                  <w:shd w:val="clear" w:color="auto" w:fill="auto"/>
                </w:tcPr>
                <w:p w14:paraId="4D2520CA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2467C67E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120</w:t>
                  </w: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vertAlign w:val="superscript"/>
                      <w:lang w:val="en-GB"/>
                    </w:rPr>
                    <w:t>Note1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14:paraId="3C3692D6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62.5</w:t>
                  </w:r>
                </w:p>
              </w:tc>
            </w:tr>
            <w:tr w:rsidR="00072D77" w:rsidRPr="00072D77" w14:paraId="7588F606" w14:textId="77777777" w:rsidTr="00507A69">
              <w:tc>
                <w:tcPr>
                  <w:tcW w:w="6662" w:type="dxa"/>
                  <w:gridSpan w:val="3"/>
                  <w:shd w:val="clear" w:color="auto" w:fill="auto"/>
                </w:tcPr>
                <w:p w14:paraId="217DE362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ind w:left="851" w:hanging="851"/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</w:pPr>
                  <w:r w:rsidRPr="00072D77">
                    <w:rPr>
                      <w:rFonts w:ascii="Arial" w:eastAsia="宋体" w:hAnsi="Arial" w:cs="Arial"/>
                      <w:sz w:val="18"/>
                      <w:szCs w:val="20"/>
                      <w:lang w:val="en-GB" w:eastAsia="ja-JP"/>
                    </w:rPr>
                    <w:t>NOTE</w:t>
                  </w:r>
                  <w:r w:rsidRPr="00072D77">
                    <w:rPr>
                      <w:rFonts w:ascii="Arial" w:eastAsia="宋体" w:hAnsi="Arial" w:cs="Arial"/>
                      <w:sz w:val="18"/>
                      <w:szCs w:val="20"/>
                      <w:lang w:val="en-GB" w:eastAsia="ko-KR"/>
                    </w:rPr>
                    <w:t xml:space="preserve"> </w:t>
                  </w:r>
                  <w:r w:rsidRPr="00072D77">
                    <w:rPr>
                      <w:rFonts w:ascii="Arial" w:eastAsia="宋体" w:hAnsi="Arial" w:cs="Arial"/>
                      <w:sz w:val="18"/>
                      <w:szCs w:val="20"/>
                      <w:lang w:val="en-GB" w:eastAsia="ja-JP"/>
                    </w:rPr>
                    <w:t>1:</w:t>
                  </w: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 w:eastAsia="ko-KR"/>
                    </w:rPr>
                    <w:tab/>
                  </w:r>
                  <w:r w:rsidRPr="00072D77">
                    <w:rPr>
                      <w:rFonts w:ascii="Arial" w:eastAsia="宋体" w:hAnsi="Arial" w:cs="Arial"/>
                      <w:sz w:val="18"/>
                      <w:szCs w:val="20"/>
                      <w:lang w:val="en-GB"/>
                    </w:rPr>
                    <w:t>F</w:t>
                  </w:r>
                  <w:r w:rsidRPr="00072D77">
                    <w:rPr>
                      <w:rFonts w:ascii="Arial" w:eastAsia="宋体" w:hAnsi="Arial" w:cs="Arial"/>
                      <w:sz w:val="18"/>
                      <w:szCs w:val="20"/>
                      <w:lang w:val="en-GB" w:eastAsia="ja-JP"/>
                    </w:rPr>
                    <w:t xml:space="preserve">or </w:t>
                  </w: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 w:eastAsia="zh-CN"/>
                    </w:rPr>
                    <w:t xml:space="preserve">E-UTRA </w:t>
                  </w: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FDD-</w:t>
                  </w: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 w:eastAsia="zh-CN"/>
                    </w:rPr>
                    <w:t xml:space="preserve">NR </w:t>
                  </w: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FDD</w:t>
                  </w: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 w:eastAsia="zh-CN"/>
                    </w:rPr>
                    <w:t xml:space="preserve"> and E-UTRA T</w:t>
                  </w: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DD-</w:t>
                  </w: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 w:eastAsia="zh-CN"/>
                    </w:rPr>
                    <w:t>NR T</w:t>
                  </w: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DD</w:t>
                  </w:r>
                  <w:r w:rsidRPr="00072D77">
                    <w:rPr>
                      <w:rFonts w:ascii="Arial" w:eastAsia="宋体" w:hAnsi="Arial" w:cs="Arial"/>
                      <w:sz w:val="18"/>
                      <w:szCs w:val="20"/>
                      <w:lang w:val="en-GB" w:eastAsia="ja-JP"/>
                    </w:rPr>
                    <w:t xml:space="preserve"> intra-band</w:t>
                  </w:r>
                  <w:r w:rsidRPr="00072D77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 xml:space="preserve"> EN-DC</w:t>
                  </w:r>
                  <w:r w:rsidRPr="00072D77">
                    <w:rPr>
                      <w:rFonts w:ascii="Arial" w:eastAsia="宋体" w:hAnsi="Arial" w:cs="Arial"/>
                      <w:sz w:val="18"/>
                      <w:szCs w:val="20"/>
                      <w:lang w:val="en-GB" w:eastAsia="ja-JP"/>
                    </w:rPr>
                    <w:t xml:space="preserve">, </w:t>
                  </w:r>
                  <w:r w:rsidRPr="00072D77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 xml:space="preserve">for which the requirement is defined in clause 7.5.3 and this Table 7.5.2-1 is also applicable, the scenario with </w:t>
                  </w:r>
                  <w:r w:rsidRPr="00072D77">
                    <w:rPr>
                      <w:rFonts w:ascii="Arial" w:eastAsia="宋体" w:hAnsi="Arial" w:cs="Arial"/>
                      <w:sz w:val="18"/>
                      <w:szCs w:val="20"/>
                      <w:lang w:val="en-GB" w:eastAsia="ja-JP"/>
                    </w:rPr>
                    <w:t xml:space="preserve">120kHz </w:t>
                  </w:r>
                  <w:r w:rsidRPr="00072D77">
                    <w:rPr>
                      <w:rFonts w:ascii="Arial" w:eastAsia="宋体" w:hAnsi="Arial" w:cs="Arial"/>
                      <w:sz w:val="18"/>
                      <w:szCs w:val="20"/>
                      <w:lang w:val="en-GB" w:eastAsia="zh-CN"/>
                    </w:rPr>
                    <w:t>PSCell does not exist</w:t>
                  </w:r>
                  <w:r w:rsidRPr="00072D77">
                    <w:rPr>
                      <w:rFonts w:ascii="Arial" w:eastAsia="宋体" w:hAnsi="Arial" w:cs="Arial"/>
                      <w:sz w:val="18"/>
                      <w:szCs w:val="20"/>
                      <w:lang w:val="en-GB" w:eastAsia="ja-JP"/>
                    </w:rPr>
                    <w:t>.</w:t>
                  </w:r>
                </w:p>
              </w:tc>
            </w:tr>
          </w:tbl>
          <w:p w14:paraId="225332B3" w14:textId="77777777" w:rsidR="00072D77" w:rsidRPr="00072D77" w:rsidRDefault="00072D77" w:rsidP="00072D77">
            <w:pPr>
              <w:spacing w:after="180"/>
              <w:rPr>
                <w:rFonts w:eastAsia="Malgun Gothic" w:cs="v4.2.0"/>
                <w:szCs w:val="20"/>
                <w:lang w:val="en-GB"/>
              </w:rPr>
            </w:pPr>
          </w:p>
          <w:p w14:paraId="6CCCD3DE" w14:textId="77777777" w:rsidR="00072D77" w:rsidRPr="00072D77" w:rsidRDefault="00072D77" w:rsidP="00072D77">
            <w:pPr>
              <w:spacing w:after="180"/>
              <w:rPr>
                <w:rFonts w:eastAsia="宋体" w:cs="v4.2.0"/>
                <w:szCs w:val="20"/>
                <w:lang w:val="en-GB" w:eastAsia="zh-CN"/>
              </w:rPr>
            </w:pPr>
            <w:r w:rsidRPr="00072D77">
              <w:rPr>
                <w:rFonts w:eastAsia="宋体" w:cs="v4.2.0"/>
                <w:szCs w:val="20"/>
                <w:lang w:val="en-GB" w:eastAsia="zh-CN"/>
              </w:rPr>
              <w:t>T</w:t>
            </w:r>
            <w:r w:rsidRPr="00072D77">
              <w:rPr>
                <w:rFonts w:eastAsia="宋体" w:cs="v4.2.0"/>
                <w:szCs w:val="20"/>
                <w:lang w:val="en-GB"/>
              </w:rPr>
              <w:t>he UE shall be capable of handling a maximum uplink transmission timing difference between E-UTRA PCell and PSCell as shown in Table 7.5.2-</w:t>
            </w:r>
            <w:r w:rsidRPr="00072D77">
              <w:rPr>
                <w:rFonts w:eastAsia="宋体" w:cs="v4.2.0"/>
                <w:szCs w:val="20"/>
                <w:lang w:val="en-GB" w:eastAsia="zh-CN"/>
              </w:rPr>
              <w:t>2</w:t>
            </w:r>
            <w:r w:rsidRPr="00072D77">
              <w:rPr>
                <w:rFonts w:eastAsia="宋体" w:cs="v4.2.0"/>
                <w:szCs w:val="20"/>
                <w:lang w:val="en-GB"/>
              </w:rPr>
              <w:t xml:space="preserve">. </w:t>
            </w:r>
            <w:r w:rsidRPr="00072D77">
              <w:rPr>
                <w:rFonts w:eastAsia="宋体" w:cs="Times New Roman"/>
                <w:szCs w:val="20"/>
                <w:lang w:val="en-GB"/>
              </w:rPr>
              <w:t xml:space="preserve">The requirements for synchronous </w:t>
            </w:r>
            <w:r w:rsidRPr="00072D77">
              <w:rPr>
                <w:rFonts w:eastAsia="宋体" w:cs="Times New Roman"/>
                <w:szCs w:val="20"/>
                <w:lang w:val="en-GB" w:eastAsia="zh-CN"/>
              </w:rPr>
              <w:t>EN-DC</w:t>
            </w:r>
            <w:r w:rsidRPr="00072D77">
              <w:rPr>
                <w:rFonts w:eastAsia="宋体" w:cs="Times New Roman"/>
                <w:szCs w:val="20"/>
                <w:lang w:val="en-GB"/>
              </w:rPr>
              <w:t xml:space="preserve"> are applicable for </w:t>
            </w:r>
            <w:r w:rsidRPr="00072D77">
              <w:rPr>
                <w:rFonts w:eastAsia="宋体" w:cs="Times New Roman"/>
                <w:szCs w:val="20"/>
                <w:lang w:val="en-GB" w:eastAsia="zh-CN"/>
              </w:rPr>
              <w:t xml:space="preserve">E-UTRA </w:t>
            </w:r>
            <w:r w:rsidRPr="00072D77">
              <w:rPr>
                <w:rFonts w:eastAsia="宋体" w:cs="Times New Roman"/>
                <w:szCs w:val="20"/>
                <w:lang w:val="en-GB"/>
              </w:rPr>
              <w:t>TDD-</w:t>
            </w:r>
            <w:r w:rsidRPr="00072D77">
              <w:rPr>
                <w:rFonts w:eastAsia="宋体" w:cs="Times New Roman"/>
                <w:szCs w:val="20"/>
                <w:lang w:val="en-GB" w:eastAsia="zh-CN"/>
              </w:rPr>
              <w:t xml:space="preserve">NR </w:t>
            </w:r>
            <w:r w:rsidRPr="00072D77">
              <w:rPr>
                <w:rFonts w:eastAsia="宋体" w:cs="Times New Roman"/>
                <w:szCs w:val="20"/>
                <w:lang w:val="en-GB"/>
              </w:rPr>
              <w:t>TDD</w:t>
            </w:r>
            <w:r w:rsidRPr="00072D77">
              <w:rPr>
                <w:rFonts w:eastAsia="宋体" w:cs="Times New Roman"/>
                <w:szCs w:val="20"/>
                <w:lang w:val="en-GB" w:eastAsia="zh-CN"/>
              </w:rPr>
              <w:t xml:space="preserve">, E-UTRA FDD-NR FDD, E-UTRA </w:t>
            </w:r>
            <w:r w:rsidRPr="00072D77">
              <w:rPr>
                <w:rFonts w:eastAsia="宋体" w:cs="Times New Roman"/>
                <w:szCs w:val="20"/>
                <w:lang w:val="en-GB"/>
              </w:rPr>
              <w:t>TDD-</w:t>
            </w:r>
            <w:r w:rsidRPr="00072D77">
              <w:rPr>
                <w:rFonts w:eastAsia="宋体" w:cs="Times New Roman"/>
                <w:szCs w:val="20"/>
                <w:lang w:val="en-GB" w:eastAsia="zh-CN"/>
              </w:rPr>
              <w:t>NR F</w:t>
            </w:r>
            <w:r w:rsidRPr="00072D77">
              <w:rPr>
                <w:rFonts w:eastAsia="宋体" w:cs="Times New Roman"/>
                <w:szCs w:val="20"/>
                <w:lang w:val="en-GB"/>
              </w:rPr>
              <w:t>DD</w:t>
            </w:r>
            <w:r w:rsidRPr="00072D77">
              <w:rPr>
                <w:rFonts w:eastAsia="宋体" w:cs="Times New Roman"/>
                <w:szCs w:val="20"/>
                <w:lang w:val="en-GB" w:eastAsia="zh-CN"/>
              </w:rPr>
              <w:t xml:space="preserve"> </w:t>
            </w:r>
            <w:r w:rsidRPr="00072D77">
              <w:rPr>
                <w:rFonts w:eastAsia="宋体" w:cs="Times New Roman"/>
                <w:szCs w:val="20"/>
                <w:lang w:val="en-GB"/>
              </w:rPr>
              <w:t xml:space="preserve">and </w:t>
            </w:r>
            <w:r w:rsidRPr="00072D77">
              <w:rPr>
                <w:rFonts w:eastAsia="宋体" w:cs="Times New Roman"/>
                <w:szCs w:val="20"/>
                <w:lang w:val="en-GB" w:eastAsia="zh-CN"/>
              </w:rPr>
              <w:t>E-UTRA F</w:t>
            </w:r>
            <w:r w:rsidRPr="00072D77">
              <w:rPr>
                <w:rFonts w:eastAsia="宋体" w:cs="Times New Roman"/>
                <w:szCs w:val="20"/>
                <w:lang w:val="en-GB"/>
              </w:rPr>
              <w:t>DD-</w:t>
            </w:r>
            <w:r w:rsidRPr="00072D77">
              <w:rPr>
                <w:rFonts w:eastAsia="宋体" w:cs="Times New Roman"/>
                <w:szCs w:val="20"/>
                <w:lang w:val="en-GB" w:eastAsia="zh-CN"/>
              </w:rPr>
              <w:t>NR T</w:t>
            </w:r>
            <w:r w:rsidRPr="00072D77">
              <w:rPr>
                <w:rFonts w:eastAsia="宋体" w:cs="Times New Roman"/>
                <w:szCs w:val="20"/>
                <w:lang w:val="en-GB"/>
              </w:rPr>
              <w:t xml:space="preserve">DD inter-band </w:t>
            </w:r>
            <w:r w:rsidRPr="00072D77">
              <w:rPr>
                <w:rFonts w:eastAsia="宋体" w:cs="Times New Roman"/>
                <w:szCs w:val="20"/>
                <w:lang w:val="en-GB" w:eastAsia="zh-CN"/>
              </w:rPr>
              <w:t>EN-DC</w:t>
            </w:r>
            <w:r w:rsidRPr="00072D77">
              <w:rPr>
                <w:rFonts w:eastAsia="宋体" w:cs="Times New Roman"/>
                <w:szCs w:val="20"/>
                <w:lang w:val="en-GB"/>
              </w:rPr>
              <w:t>.</w:t>
            </w:r>
          </w:p>
          <w:p w14:paraId="08E8D97F" w14:textId="77777777" w:rsidR="00072D77" w:rsidRPr="00072D77" w:rsidRDefault="00072D77" w:rsidP="00072D77">
            <w:pPr>
              <w:keepNext/>
              <w:keepLines/>
              <w:spacing w:before="60" w:after="180"/>
              <w:jc w:val="center"/>
              <w:rPr>
                <w:rFonts w:ascii="Arial" w:eastAsia="宋体" w:hAnsi="Arial" w:cs="Times New Roman"/>
                <w:b/>
                <w:snapToGrid w:val="0"/>
                <w:szCs w:val="20"/>
                <w:lang w:val="en-GB"/>
              </w:rPr>
            </w:pPr>
            <w:r w:rsidRPr="00072D77">
              <w:rPr>
                <w:rFonts w:ascii="Arial" w:eastAsia="宋体" w:hAnsi="Arial" w:cs="Times New Roman"/>
                <w:b/>
                <w:snapToGrid w:val="0"/>
                <w:szCs w:val="20"/>
                <w:lang w:val="en-GB"/>
              </w:rPr>
              <w:t>Table 7.5.2-2 Maximum uplink transmission timing difference requirement for</w:t>
            </w:r>
            <w:r w:rsidRPr="00072D77">
              <w:rPr>
                <w:rFonts w:ascii="Arial" w:eastAsia="宋体" w:hAnsi="Arial" w:cs="Times New Roman"/>
                <w:b/>
                <w:snapToGrid w:val="0"/>
                <w:szCs w:val="20"/>
                <w:lang w:val="en-GB" w:eastAsia="zh-CN"/>
              </w:rPr>
              <w:t xml:space="preserve"> inter-band</w:t>
            </w:r>
            <w:r w:rsidRPr="00072D77">
              <w:rPr>
                <w:rFonts w:ascii="Arial" w:eastAsia="宋体" w:hAnsi="Arial" w:cs="Times New Roman"/>
                <w:b/>
                <w:snapToGrid w:val="0"/>
                <w:szCs w:val="20"/>
                <w:lang w:val="en-GB"/>
              </w:rPr>
              <w:t xml:space="preserve"> synchronous </w:t>
            </w:r>
            <w:r w:rsidRPr="00072D77">
              <w:rPr>
                <w:rFonts w:ascii="Arial" w:eastAsia="宋体" w:hAnsi="Arial" w:cs="Times New Roman"/>
                <w:b/>
                <w:snapToGrid w:val="0"/>
                <w:szCs w:val="20"/>
                <w:lang w:val="en-GB" w:eastAsia="zh-CN"/>
              </w:rPr>
              <w:t>EN-DC</w:t>
            </w:r>
          </w:p>
          <w:tbl>
            <w:tblPr>
              <w:tblW w:w="0" w:type="auto"/>
              <w:tblInd w:w="19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65"/>
              <w:gridCol w:w="1765"/>
              <w:gridCol w:w="2225"/>
            </w:tblGrid>
            <w:tr w:rsidR="00072D77" w:rsidRPr="00072D77" w14:paraId="244C14C1" w14:textId="77777777" w:rsidTr="00507A69">
              <w:tc>
                <w:tcPr>
                  <w:tcW w:w="1765" w:type="dxa"/>
                  <w:shd w:val="clear" w:color="auto" w:fill="auto"/>
                </w:tcPr>
                <w:p w14:paraId="67EC9BB3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  <w:t>Sub-carrier spacing in E-UTRA PCell (kHz)</w:t>
                  </w:r>
                </w:p>
              </w:tc>
              <w:tc>
                <w:tcPr>
                  <w:tcW w:w="1765" w:type="dxa"/>
                  <w:shd w:val="clear" w:color="auto" w:fill="auto"/>
                </w:tcPr>
                <w:p w14:paraId="7B1E1590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  <w:t>UL Sub-carrier spacing for data in PSCell (kHz)</w:t>
                  </w:r>
                </w:p>
              </w:tc>
              <w:tc>
                <w:tcPr>
                  <w:tcW w:w="2225" w:type="dxa"/>
                </w:tcPr>
                <w:p w14:paraId="4C2E38F6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  <w:t>Maximum uplink transmission timing difference (µs)</w:t>
                  </w:r>
                </w:p>
              </w:tc>
            </w:tr>
            <w:tr w:rsidR="00072D77" w:rsidRPr="00072D77" w14:paraId="40294D46" w14:textId="77777777" w:rsidTr="00507A69">
              <w:tc>
                <w:tcPr>
                  <w:tcW w:w="1765" w:type="dxa"/>
                  <w:shd w:val="clear" w:color="auto" w:fill="auto"/>
                </w:tcPr>
                <w:p w14:paraId="15C4EC5C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1765" w:type="dxa"/>
                  <w:shd w:val="clear" w:color="auto" w:fill="auto"/>
                </w:tcPr>
                <w:p w14:paraId="3EAC3A66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2225" w:type="dxa"/>
                </w:tcPr>
                <w:p w14:paraId="70491EA3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 w:eastAsia="zh-CN"/>
                    </w:rPr>
                    <w:t>35.21</w:t>
                  </w:r>
                </w:p>
              </w:tc>
            </w:tr>
            <w:tr w:rsidR="00072D77" w:rsidRPr="00072D77" w14:paraId="3148CA00" w14:textId="77777777" w:rsidTr="00507A69">
              <w:tc>
                <w:tcPr>
                  <w:tcW w:w="1765" w:type="dxa"/>
                  <w:shd w:val="clear" w:color="auto" w:fill="auto"/>
                </w:tcPr>
                <w:p w14:paraId="0B864C3A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1765" w:type="dxa"/>
                  <w:shd w:val="clear" w:color="auto" w:fill="auto"/>
                </w:tcPr>
                <w:p w14:paraId="3A26FFB9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30</w:t>
                  </w:r>
                </w:p>
              </w:tc>
              <w:tc>
                <w:tcPr>
                  <w:tcW w:w="2225" w:type="dxa"/>
                </w:tcPr>
                <w:p w14:paraId="052D2DF5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 w:eastAsia="zh-CN"/>
                    </w:rPr>
                    <w:t>35.21</w:t>
                  </w:r>
                </w:p>
              </w:tc>
            </w:tr>
            <w:tr w:rsidR="00072D77" w:rsidRPr="00072D77" w14:paraId="18EB944C" w14:textId="77777777" w:rsidTr="00507A69">
              <w:tc>
                <w:tcPr>
                  <w:tcW w:w="1765" w:type="dxa"/>
                  <w:shd w:val="clear" w:color="auto" w:fill="auto"/>
                </w:tcPr>
                <w:p w14:paraId="507A2C1A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1765" w:type="dxa"/>
                  <w:shd w:val="clear" w:color="auto" w:fill="auto"/>
                </w:tcPr>
                <w:p w14:paraId="79FAD3EF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60</w:t>
                  </w:r>
                </w:p>
              </w:tc>
              <w:tc>
                <w:tcPr>
                  <w:tcW w:w="2225" w:type="dxa"/>
                </w:tcPr>
                <w:p w14:paraId="26A166A5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 w:eastAsia="zh-CN"/>
                    </w:rPr>
                    <w:t>35.21</w:t>
                  </w:r>
                </w:p>
              </w:tc>
            </w:tr>
            <w:tr w:rsidR="00072D77" w:rsidRPr="00072D77" w14:paraId="7AB36C8E" w14:textId="77777777" w:rsidTr="00507A69">
              <w:tc>
                <w:tcPr>
                  <w:tcW w:w="1765" w:type="dxa"/>
                  <w:shd w:val="clear" w:color="auto" w:fill="auto"/>
                </w:tcPr>
                <w:p w14:paraId="20A4DE9C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1765" w:type="dxa"/>
                  <w:shd w:val="clear" w:color="auto" w:fill="auto"/>
                </w:tcPr>
                <w:p w14:paraId="6FFCC695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120</w:t>
                  </w:r>
                </w:p>
              </w:tc>
              <w:tc>
                <w:tcPr>
                  <w:tcW w:w="2225" w:type="dxa"/>
                </w:tcPr>
                <w:p w14:paraId="4F5B4002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 w:eastAsia="zh-CN"/>
                    </w:rPr>
                    <w:t>35.21</w:t>
                  </w:r>
                </w:p>
              </w:tc>
            </w:tr>
            <w:tr w:rsidR="00072D77" w:rsidRPr="00072D77" w14:paraId="7099391F" w14:textId="77777777" w:rsidTr="00507A69">
              <w:tc>
                <w:tcPr>
                  <w:tcW w:w="5755" w:type="dxa"/>
                  <w:gridSpan w:val="3"/>
                  <w:shd w:val="clear" w:color="auto" w:fill="auto"/>
                </w:tcPr>
                <w:p w14:paraId="50589000" w14:textId="77777777" w:rsidR="00072D77" w:rsidRPr="00072D77" w:rsidRDefault="00072D77" w:rsidP="00072D77">
                  <w:pPr>
                    <w:keepNext/>
                    <w:keepLines/>
                    <w:spacing w:after="0" w:line="240" w:lineRule="auto"/>
                    <w:ind w:left="851" w:hanging="851"/>
                    <w:rPr>
                      <w:rFonts w:ascii="Arial" w:eastAsia="宋体" w:hAnsi="Arial" w:cs="Times New Roman"/>
                      <w:sz w:val="18"/>
                      <w:szCs w:val="20"/>
                      <w:lang w:val="en-GB" w:eastAsia="zh-CN"/>
                    </w:rPr>
                  </w:pPr>
                  <w:r w:rsidRPr="00072D77">
                    <w:rPr>
                      <w:rFonts w:ascii="Arial" w:eastAsia="Batang" w:hAnsi="Arial" w:cs="Times New Roman"/>
                      <w:sz w:val="18"/>
                      <w:szCs w:val="20"/>
                      <w:lang w:val="en-GB" w:eastAsia="ja-JP"/>
                    </w:rPr>
                    <w:t>NOTE 1:</w:t>
                  </w:r>
                  <w:r w:rsidRPr="00072D77">
                    <w:rPr>
                      <w:rFonts w:ascii="Arial" w:eastAsia="宋体" w:hAnsi="Arial" w:cs="Times New Roman"/>
                      <w:sz w:val="18"/>
                      <w:szCs w:val="20"/>
                      <w:lang w:val="en-GB" w:eastAsia="ko-KR"/>
                    </w:rPr>
                    <w:tab/>
                    <w:t>Void</w:t>
                  </w:r>
                </w:p>
              </w:tc>
            </w:tr>
          </w:tbl>
          <w:p w14:paraId="41315465" w14:textId="77777777" w:rsidR="00072D77" w:rsidRPr="00072D77" w:rsidRDefault="00072D77" w:rsidP="00072D77">
            <w:pPr>
              <w:spacing w:after="180"/>
              <w:rPr>
                <w:rFonts w:eastAsia="宋体" w:cs="Times New Roman"/>
                <w:szCs w:val="20"/>
                <w:lang w:val="en-GB" w:eastAsia="zh-CN"/>
              </w:rPr>
            </w:pPr>
          </w:p>
          <w:p w14:paraId="3E85CB91" w14:textId="77777777" w:rsidR="004C76FA" w:rsidRPr="00072D77" w:rsidRDefault="004C76FA" w:rsidP="00CD6132">
            <w:pPr>
              <w:rPr>
                <w:i/>
              </w:rPr>
            </w:pPr>
          </w:p>
        </w:tc>
      </w:tr>
    </w:tbl>
    <w:p w14:paraId="585A5FEC" w14:textId="610861A7" w:rsidR="004C76FA" w:rsidRDefault="004C76FA" w:rsidP="00CD6132"/>
    <w:p w14:paraId="19973F4D" w14:textId="68BEB98A" w:rsidR="00072D77" w:rsidRDefault="00072D77" w:rsidP="00CD6132">
      <w:r>
        <w:t xml:space="preserve">Looking at the first sentence in this requirement, it is said the MTTD requirement is showed in Table 7.5.2-1, but Table 7.5.2-1 is for asynchronous inter-band EN-DC. </w:t>
      </w:r>
      <w:r w:rsidR="00D57046">
        <w:t>And then specified the requirement for synchronous inter-band EN-DC in Table 7.5.2-2. This requirement may cause a little confusing for the others</w:t>
      </w:r>
      <w:r w:rsidR="00FD0F91">
        <w:t xml:space="preserve"> outside RAN4</w:t>
      </w:r>
      <w:r w:rsidR="00D57046">
        <w:t xml:space="preserve"> who do not know the </w:t>
      </w:r>
      <w:r w:rsidR="00D57046">
        <w:lastRenderedPageBreak/>
        <w:t xml:space="preserve">agreement that UE is mandatory to support asynchronous inter-band EN-DC </w:t>
      </w:r>
      <w:r w:rsidR="00FD0F91">
        <w:t>for all cases of FDD-FDD, TDD-TDD and TDD-FDD</w:t>
      </w:r>
      <w:r w:rsidR="00D57046">
        <w:t xml:space="preserve">. </w:t>
      </w:r>
    </w:p>
    <w:p w14:paraId="7F4D1BF0" w14:textId="60AF4972" w:rsidR="00FD0F91" w:rsidRPr="00FD0F91" w:rsidRDefault="007A6FC5" w:rsidP="00FD0F91">
      <w:pPr>
        <w:pStyle w:val="RAN4proposal"/>
        <w:spacing w:before="120" w:after="120"/>
        <w:ind w:left="0" w:firstLine="0"/>
      </w:pPr>
      <w:bookmarkStart w:id="7" w:name="_Ref521606943"/>
      <w:bookmarkStart w:id="8" w:name="_Hlk21091559"/>
      <w:r>
        <w:rPr>
          <w:lang w:val="en-GB"/>
        </w:rPr>
        <w:t xml:space="preserve">Add </w:t>
      </w:r>
      <w:r w:rsidRPr="00FD0F91">
        <w:t>Clarif</w:t>
      </w:r>
      <w:r>
        <w:t>ication in specification to indicate</w:t>
      </w:r>
      <w:r w:rsidR="00FD0F91">
        <w:t xml:space="preserve"> </w:t>
      </w:r>
      <w:r w:rsidR="00CD6132">
        <w:t xml:space="preserve">that </w:t>
      </w:r>
      <w:r w:rsidR="00CD6132" w:rsidRPr="007E54D0">
        <w:t>for inter-band, UE is mandatory to support async EN-DC</w:t>
      </w:r>
      <w:r w:rsidR="00FD0F91">
        <w:t xml:space="preserve"> and async EN-DC</w:t>
      </w:r>
      <w:r w:rsidR="00CD6132" w:rsidRPr="007E54D0">
        <w:t xml:space="preserve"> for all cases of FDD-FDD, TDD-TDD and TDD-FDD</w:t>
      </w:r>
      <w:bookmarkEnd w:id="7"/>
    </w:p>
    <w:bookmarkEnd w:id="8"/>
    <w:p w14:paraId="2A9AD088" w14:textId="65F922FE" w:rsidR="00AF49C0" w:rsidRDefault="00AF49C0" w:rsidP="003B659E">
      <w:pPr>
        <w:ind w:right="-22"/>
        <w:rPr>
          <w:rFonts w:cs="Times New Roman"/>
        </w:rPr>
      </w:pPr>
      <w:r>
        <w:rPr>
          <w:rFonts w:cs="Times New Roman"/>
        </w:rPr>
        <w:t xml:space="preserve">This </w:t>
      </w:r>
      <w:r w:rsidR="00470343">
        <w:rPr>
          <w:rFonts w:cs="Times New Roman"/>
        </w:rPr>
        <w:t xml:space="preserve">proposal </w:t>
      </w:r>
      <w:r>
        <w:rPr>
          <w:rFonts w:cs="Times New Roman"/>
        </w:rPr>
        <w:t>will be captured in CR [4]</w:t>
      </w:r>
    </w:p>
    <w:p w14:paraId="21C04B02" w14:textId="77777777" w:rsidR="00007529" w:rsidRDefault="00007529" w:rsidP="003B659E">
      <w:pPr>
        <w:ind w:right="-22"/>
        <w:rPr>
          <w:rFonts w:cs="Times New Roman"/>
        </w:rPr>
      </w:pPr>
    </w:p>
    <w:p w14:paraId="761516E1" w14:textId="77777777" w:rsidR="00CD7492" w:rsidRPr="0095295C" w:rsidRDefault="00CD7492" w:rsidP="00A37002">
      <w:pPr>
        <w:pStyle w:val="RAN4H1"/>
      </w:pPr>
      <w:r w:rsidRPr="00A37002">
        <w:t>Conclusion</w:t>
      </w:r>
    </w:p>
    <w:p w14:paraId="4740B322" w14:textId="2D0AB7C8" w:rsidR="007A6FC5" w:rsidRPr="007A6FC5" w:rsidRDefault="007A6FC5" w:rsidP="007A6FC5">
      <w:pPr>
        <w:pStyle w:val="RAN4proposal"/>
        <w:numPr>
          <w:ilvl w:val="0"/>
          <w:numId w:val="0"/>
        </w:numPr>
        <w:rPr>
          <w:b w:val="0"/>
          <w:lang w:val="en-GB"/>
        </w:rPr>
      </w:pPr>
      <w:r w:rsidRPr="007A6FC5">
        <w:rPr>
          <w:b w:val="0"/>
          <w:lang w:val="en-GB"/>
        </w:rPr>
        <w:t>In this paper, we provide our views on synchronous or asynchronous requirement</w:t>
      </w:r>
      <w:r>
        <w:rPr>
          <w:b w:val="0"/>
          <w:lang w:val="en-GB"/>
        </w:rPr>
        <w:t>s in MRTD and MTTD requirements, and have the proposal as below:</w:t>
      </w:r>
    </w:p>
    <w:p w14:paraId="7411238B" w14:textId="234535F4" w:rsidR="007314DB" w:rsidRPr="00DD2743" w:rsidRDefault="007A6FC5" w:rsidP="00DD2743">
      <w:pPr>
        <w:pStyle w:val="RAN4proposal"/>
        <w:numPr>
          <w:ilvl w:val="0"/>
          <w:numId w:val="26"/>
        </w:numPr>
        <w:spacing w:before="120" w:after="120"/>
        <w:rPr>
          <w:lang w:val="en-GB"/>
        </w:rPr>
      </w:pPr>
      <w:bookmarkStart w:id="9" w:name="_GoBack"/>
      <w:bookmarkEnd w:id="9"/>
      <w:r w:rsidRPr="00DD2743">
        <w:rPr>
          <w:lang w:val="en-GB"/>
        </w:rPr>
        <w:t xml:space="preserve">Add </w:t>
      </w:r>
      <w:r w:rsidR="00FD0F91" w:rsidRPr="00DD2743">
        <w:rPr>
          <w:lang w:val="en-GB"/>
        </w:rPr>
        <w:t>Clarif</w:t>
      </w:r>
      <w:r w:rsidRPr="00DD2743">
        <w:rPr>
          <w:lang w:val="en-GB"/>
        </w:rPr>
        <w:t>ication in specification to indicate</w:t>
      </w:r>
      <w:r w:rsidR="00FD0F91" w:rsidRPr="00DD2743">
        <w:rPr>
          <w:lang w:val="en-GB"/>
        </w:rPr>
        <w:t xml:space="preserve"> that for inter-band, UE is mandatory to support async EN-DC for all cases of FDD-FDD, TDD-TDD and TDD-FDD</w:t>
      </w:r>
    </w:p>
    <w:p w14:paraId="4C047E95" w14:textId="77777777" w:rsidR="00007529" w:rsidRPr="00007529" w:rsidRDefault="00007529" w:rsidP="00007529"/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4BC858F8" w14:textId="77C948BC" w:rsidR="00163B43" w:rsidRDefault="00163B43" w:rsidP="008D44F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rPr>
          <w:rFonts w:eastAsia="Times New Roman" w:cs="Times New Roman"/>
          <w:szCs w:val="20"/>
          <w:lang w:val="en-GB"/>
        </w:rPr>
      </w:pPr>
      <w:bookmarkStart w:id="10" w:name="_Ref521603835"/>
      <w:bookmarkStart w:id="11" w:name="_Ref521504631"/>
      <w:r>
        <w:rPr>
          <w:rFonts w:eastAsia="Times New Roman" w:cs="Times New Roman"/>
          <w:szCs w:val="20"/>
          <w:lang w:val="en-GB"/>
        </w:rPr>
        <w:t>38.133, V15.7.0</w:t>
      </w:r>
    </w:p>
    <w:p w14:paraId="5D4749EB" w14:textId="55E1A01D" w:rsidR="008D44F6" w:rsidRDefault="008D44F6" w:rsidP="008D44F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 xml:space="preserve">R4-1711964, </w:t>
      </w:r>
      <w:r w:rsidRPr="00505C3F">
        <w:rPr>
          <w:rFonts w:eastAsia="Times New Roman" w:cs="Times New Roman"/>
          <w:szCs w:val="20"/>
          <w:lang w:val="en-GB"/>
        </w:rPr>
        <w:t>WF on synchronous and asynchronous definitions for LTE-NR DC in Rel-15</w:t>
      </w:r>
      <w:r>
        <w:rPr>
          <w:rFonts w:eastAsia="Times New Roman" w:cs="Times New Roman"/>
          <w:szCs w:val="20"/>
          <w:lang w:val="en-GB"/>
        </w:rPr>
        <w:t xml:space="preserve">, </w:t>
      </w:r>
      <w:bookmarkEnd w:id="10"/>
      <w:r w:rsidRPr="00505C3F">
        <w:rPr>
          <w:rFonts w:eastAsia="Times New Roman" w:cs="Times New Roman"/>
          <w:szCs w:val="20"/>
          <w:lang w:val="en-GB"/>
        </w:rPr>
        <w:t>Ericsson, MediaTek</w:t>
      </w:r>
    </w:p>
    <w:p w14:paraId="28E1B05D" w14:textId="51EC7D8A" w:rsidR="00FC5C6C" w:rsidRDefault="00163B43" w:rsidP="00FD0F9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rPr>
          <w:rFonts w:eastAsia="Times New Roman" w:cs="Times New Roman"/>
          <w:szCs w:val="20"/>
          <w:lang w:val="en-GB"/>
        </w:rPr>
      </w:pPr>
      <w:r w:rsidRPr="00163B43">
        <w:rPr>
          <w:rFonts w:eastAsia="Times New Roman" w:cs="Times New Roman"/>
          <w:szCs w:val="20"/>
          <w:lang w:val="en-GB"/>
        </w:rPr>
        <w:t>R4-1809935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163B43">
        <w:rPr>
          <w:rFonts w:eastAsia="Times New Roman" w:cs="Times New Roman"/>
          <w:szCs w:val="20"/>
          <w:lang w:val="en-GB"/>
        </w:rPr>
        <w:t>Clarification on Sync/Async EN-DC scenarios</w:t>
      </w:r>
      <w:r>
        <w:rPr>
          <w:rFonts w:eastAsia="Times New Roman" w:cs="Times New Roman"/>
          <w:szCs w:val="20"/>
          <w:lang w:val="en-GB"/>
        </w:rPr>
        <w:t>, Samsung</w:t>
      </w:r>
    </w:p>
    <w:p w14:paraId="4C3AD700" w14:textId="3ADDAA36" w:rsidR="00163B43" w:rsidRDefault="00163B43" w:rsidP="00163B4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jc w:val="both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>R4-19</w:t>
      </w:r>
      <w:r w:rsidR="00940C84">
        <w:rPr>
          <w:rFonts w:eastAsia="Times New Roman" w:cs="Times New Roman"/>
          <w:szCs w:val="20"/>
          <w:lang w:val="en-GB"/>
        </w:rPr>
        <w:t>11787</w:t>
      </w:r>
      <w:r>
        <w:rPr>
          <w:rFonts w:eastAsia="Times New Roman" w:cs="Times New Roman"/>
          <w:szCs w:val="20"/>
          <w:lang w:val="en-GB"/>
        </w:rPr>
        <w:t>, CR on MRTD and MTTD requirements</w:t>
      </w:r>
      <w:r w:rsidR="002609DD">
        <w:rPr>
          <w:rFonts w:eastAsia="Times New Roman" w:cs="Times New Roman"/>
          <w:szCs w:val="20"/>
          <w:lang w:val="en-GB"/>
        </w:rPr>
        <w:t>, Nokia, Nokia Shanghai Bell</w:t>
      </w:r>
    </w:p>
    <w:bookmarkEnd w:id="11"/>
    <w:p w14:paraId="6334D551" w14:textId="77777777" w:rsidR="00504EE9" w:rsidRDefault="00504EE9" w:rsidP="00841BCD">
      <w:pPr>
        <w:ind w:right="-22"/>
        <w:rPr>
          <w:lang w:val="en-GB"/>
        </w:rPr>
      </w:pPr>
    </w:p>
    <w:p w14:paraId="7CE86EE5" w14:textId="77777777" w:rsidR="00504EE9" w:rsidRPr="00841BCD" w:rsidRDefault="00504EE9" w:rsidP="00504EE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A</w:t>
      </w:r>
      <w:r w:rsidRPr="00841BCD">
        <w:rPr>
          <w:rFonts w:ascii="Arial" w:eastAsia="宋体" w:hAnsi="Arial" w:cs="Times New Roman"/>
          <w:sz w:val="36"/>
          <w:szCs w:val="20"/>
          <w:lang w:val="en-GB"/>
        </w:rPr>
        <w:tab/>
      </w:r>
    </w:p>
    <w:p w14:paraId="7BF34BA9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2B635" w14:textId="77777777" w:rsidR="00271955" w:rsidRDefault="00271955" w:rsidP="00001C9B">
      <w:pPr>
        <w:spacing w:after="0" w:line="240" w:lineRule="auto"/>
      </w:pPr>
      <w:r>
        <w:separator/>
      </w:r>
    </w:p>
  </w:endnote>
  <w:endnote w:type="continuationSeparator" w:id="0">
    <w:p w14:paraId="4F64AE06" w14:textId="77777777" w:rsidR="00271955" w:rsidRDefault="0027195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135B6" w14:textId="77777777" w:rsidR="00271955" w:rsidRDefault="00271955" w:rsidP="00001C9B">
      <w:pPr>
        <w:spacing w:after="0" w:line="240" w:lineRule="auto"/>
      </w:pPr>
      <w:r>
        <w:separator/>
      </w:r>
    </w:p>
  </w:footnote>
  <w:footnote w:type="continuationSeparator" w:id="0">
    <w:p w14:paraId="60691CEC" w14:textId="77777777" w:rsidR="00271955" w:rsidRDefault="0027195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BA6949"/>
    <w:multiLevelType w:val="hybridMultilevel"/>
    <w:tmpl w:val="8722A6B6"/>
    <w:lvl w:ilvl="0" w:tplc="02ACE14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DD642D"/>
    <w:multiLevelType w:val="hybridMultilevel"/>
    <w:tmpl w:val="9516EE56"/>
    <w:lvl w:ilvl="0" w:tplc="9AA2A7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71CF4"/>
    <w:multiLevelType w:val="hybridMultilevel"/>
    <w:tmpl w:val="E76A90E0"/>
    <w:lvl w:ilvl="0" w:tplc="7EC605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3E5F64">
      <w:start w:val="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EFF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2F0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A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22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6C0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EE64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684B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2"/>
  </w:num>
  <w:num w:numId="5">
    <w:abstractNumId w:val="12"/>
  </w:num>
  <w:num w:numId="6">
    <w:abstractNumId w:val="7"/>
  </w:num>
  <w:num w:numId="7">
    <w:abstractNumId w:val="8"/>
  </w:num>
  <w:num w:numId="8">
    <w:abstractNumId w:val="8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3"/>
  </w:num>
  <w:num w:numId="16">
    <w:abstractNumId w:val="1"/>
  </w:num>
  <w:num w:numId="17">
    <w:abstractNumId w:val="11"/>
  </w:num>
  <w:num w:numId="18">
    <w:abstractNumId w:val="1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4"/>
  </w:num>
  <w:num w:numId="22">
    <w:abstractNumId w:val="8"/>
  </w:num>
  <w:num w:numId="23">
    <w:abstractNumId w:val="5"/>
  </w:num>
  <w:num w:numId="24">
    <w:abstractNumId w:val="10"/>
  </w:num>
  <w:num w:numId="25">
    <w:abstractNumId w:val="8"/>
  </w:num>
  <w:num w:numId="26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7529"/>
    <w:rsid w:val="00072D77"/>
    <w:rsid w:val="0008612A"/>
    <w:rsid w:val="000B0056"/>
    <w:rsid w:val="00105658"/>
    <w:rsid w:val="00163B43"/>
    <w:rsid w:val="001745F8"/>
    <w:rsid w:val="00176671"/>
    <w:rsid w:val="001838CF"/>
    <w:rsid w:val="001C2F6D"/>
    <w:rsid w:val="001E30F6"/>
    <w:rsid w:val="00235F5C"/>
    <w:rsid w:val="002609DD"/>
    <w:rsid w:val="00271955"/>
    <w:rsid w:val="00287622"/>
    <w:rsid w:val="002B4922"/>
    <w:rsid w:val="002C2D19"/>
    <w:rsid w:val="002D10FA"/>
    <w:rsid w:val="002D4C55"/>
    <w:rsid w:val="0030202A"/>
    <w:rsid w:val="00346F44"/>
    <w:rsid w:val="00363CF1"/>
    <w:rsid w:val="003B659E"/>
    <w:rsid w:val="00417AA0"/>
    <w:rsid w:val="0043750A"/>
    <w:rsid w:val="00441A7B"/>
    <w:rsid w:val="00470343"/>
    <w:rsid w:val="004B7B4A"/>
    <w:rsid w:val="004C76FA"/>
    <w:rsid w:val="004E5E66"/>
    <w:rsid w:val="00503B4D"/>
    <w:rsid w:val="00504EE9"/>
    <w:rsid w:val="00507A69"/>
    <w:rsid w:val="0053783A"/>
    <w:rsid w:val="0054442C"/>
    <w:rsid w:val="00550285"/>
    <w:rsid w:val="005836F8"/>
    <w:rsid w:val="005918FA"/>
    <w:rsid w:val="005E4BA1"/>
    <w:rsid w:val="005E61A8"/>
    <w:rsid w:val="005F6419"/>
    <w:rsid w:val="00617400"/>
    <w:rsid w:val="00664950"/>
    <w:rsid w:val="00680E2A"/>
    <w:rsid w:val="00683220"/>
    <w:rsid w:val="00687FA0"/>
    <w:rsid w:val="006B7010"/>
    <w:rsid w:val="007145FF"/>
    <w:rsid w:val="007314DB"/>
    <w:rsid w:val="00751515"/>
    <w:rsid w:val="00785232"/>
    <w:rsid w:val="007A15B5"/>
    <w:rsid w:val="007A6FC5"/>
    <w:rsid w:val="007C3ED0"/>
    <w:rsid w:val="007D19CB"/>
    <w:rsid w:val="00806A76"/>
    <w:rsid w:val="00811C9D"/>
    <w:rsid w:val="00815418"/>
    <w:rsid w:val="00816C80"/>
    <w:rsid w:val="00841BCD"/>
    <w:rsid w:val="008826C1"/>
    <w:rsid w:val="008A667A"/>
    <w:rsid w:val="008D44F6"/>
    <w:rsid w:val="009042BD"/>
    <w:rsid w:val="009258F6"/>
    <w:rsid w:val="00940C84"/>
    <w:rsid w:val="009433A2"/>
    <w:rsid w:val="00977E1D"/>
    <w:rsid w:val="00A22B78"/>
    <w:rsid w:val="00A25AE5"/>
    <w:rsid w:val="00A37002"/>
    <w:rsid w:val="00AA1B0E"/>
    <w:rsid w:val="00AB545D"/>
    <w:rsid w:val="00AC5CA7"/>
    <w:rsid w:val="00AE56B1"/>
    <w:rsid w:val="00AF49C0"/>
    <w:rsid w:val="00B22085"/>
    <w:rsid w:val="00B73862"/>
    <w:rsid w:val="00BA6E48"/>
    <w:rsid w:val="00BA724E"/>
    <w:rsid w:val="00BF2218"/>
    <w:rsid w:val="00CD2029"/>
    <w:rsid w:val="00CD6132"/>
    <w:rsid w:val="00CD7492"/>
    <w:rsid w:val="00CE3A6B"/>
    <w:rsid w:val="00D00211"/>
    <w:rsid w:val="00D06309"/>
    <w:rsid w:val="00D27872"/>
    <w:rsid w:val="00D351EA"/>
    <w:rsid w:val="00D43403"/>
    <w:rsid w:val="00D57046"/>
    <w:rsid w:val="00D62E71"/>
    <w:rsid w:val="00D740CA"/>
    <w:rsid w:val="00D85728"/>
    <w:rsid w:val="00DC53E7"/>
    <w:rsid w:val="00DD2743"/>
    <w:rsid w:val="00DD555A"/>
    <w:rsid w:val="00DD7406"/>
    <w:rsid w:val="00DF2997"/>
    <w:rsid w:val="00EC7BC3"/>
    <w:rsid w:val="00ED7600"/>
    <w:rsid w:val="00EF2A70"/>
    <w:rsid w:val="00F1362C"/>
    <w:rsid w:val="00F824F5"/>
    <w:rsid w:val="00FA745B"/>
    <w:rsid w:val="00FC29B9"/>
    <w:rsid w:val="00FC5C6C"/>
    <w:rsid w:val="00FC6FD3"/>
    <w:rsid w:val="00FD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CB1BA52E-AB95-4F38-B010-FFCDB4A21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76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76F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B36FB-3AF1-4158-A1D8-8DDE91E87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3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Chen, Delia (NSB - CN/Hangzhou)</cp:lastModifiedBy>
  <cp:revision>10</cp:revision>
  <dcterms:created xsi:type="dcterms:W3CDTF">2019-03-23T08:59:00Z</dcterms:created>
  <dcterms:modified xsi:type="dcterms:W3CDTF">2019-10-04T17:52:00Z</dcterms:modified>
</cp:coreProperties>
</file>